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Cs w:val="20"/>
        </w:rPr>
      </w:pPr>
    </w:p>
    <w:p>
      <w:pPr>
        <w:tabs>
          <w:tab w:val="left" w:pos="3780"/>
        </w:tabs>
        <w:spacing w:line="600" w:lineRule="exact"/>
        <w:jc w:val="center"/>
        <w:rPr>
          <w:color w:val="000000"/>
          <w:sz w:val="18"/>
          <w:szCs w:val="18"/>
        </w:rPr>
      </w:pPr>
      <w:r>
        <w:rPr>
          <w:rFonts w:eastAsia="方正仿宋_GBK"/>
          <w:color w:val="000000"/>
          <w:szCs w:val="20"/>
        </w:rPr>
        <w:pict>
          <v:shape id="_x0000_s1027" o:spid="_x0000_s1027" o:spt="136" type="#_x0000_t136" style="position:absolute;left:0pt;margin-left:9pt;margin-top:26.5pt;height:66pt;width:449.25pt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重庆资源与环境保护职业学院" style="font-family:方正小标宋_GBK;font-size:36pt;v-text-align:center;"/>
          </v:shape>
        </w:pict>
      </w:r>
    </w:p>
    <w:p>
      <w:pPr>
        <w:tabs>
          <w:tab w:val="left" w:pos="1801"/>
        </w:tabs>
        <w:spacing w:line="600" w:lineRule="exact"/>
        <w:jc w:val="left"/>
        <w:rPr>
          <w:color w:val="000000"/>
        </w:rPr>
      </w:pPr>
    </w:p>
    <w:p>
      <w:pPr>
        <w:rPr>
          <w:rFonts w:ascii="仿宋_GB2312" w:hAnsi="仿宋_GB2312" w:cs="仿宋_GB2312"/>
          <w:b/>
          <w:bCs/>
          <w:color w:val="000000"/>
        </w:rPr>
      </w:pPr>
    </w:p>
    <w:p>
      <w:pPr>
        <w:rPr>
          <w:rFonts w:ascii="仿宋_GB2312" w:hAnsi="仿宋_GB2312" w:cs="仿宋_GB2312"/>
          <w:b/>
          <w:bCs/>
          <w:color w:val="000000"/>
        </w:rPr>
      </w:pPr>
    </w:p>
    <w:p>
      <w:pPr>
        <w:jc w:val="center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jc w:val="center"/>
        <w:rPr>
          <w:rFonts w:ascii="方正仿宋_GBK" w:eastAsia="方正仿宋_GBK"/>
          <w:bCs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t>渝资环院教〔2020〕</w:t>
      </w:r>
      <w:r>
        <w:rPr>
          <w:rFonts w:hint="eastAsia" w:ascii="方正仿宋_GBK" w:hAnsi="方正仿宋_GBK" w:eastAsia="方正仿宋_GBK" w:cs="方正仿宋_GBK"/>
          <w:bCs/>
          <w:color w:val="FF0000"/>
          <w:sz w:val="30"/>
          <w:szCs w:val="30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t>号</w:t>
      </w:r>
    </w:p>
    <w:p>
      <w:pPr>
        <w:spacing w:line="600" w:lineRule="exact"/>
        <w:jc w:val="center"/>
        <w:rPr>
          <w:rFonts w:ascii="方正小标宋_GBK" w:hAnsi="宋体" w:eastAsia="方正小标宋_GBK"/>
          <w:b/>
          <w:bCs/>
          <w:color w:val="000000"/>
          <w:sz w:val="44"/>
          <w:szCs w:val="44"/>
        </w:rPr>
      </w:pPr>
      <w:r>
        <w:rPr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-4445</wp:posOffset>
                </wp:positionV>
                <wp:extent cx="5782310" cy="635"/>
                <wp:effectExtent l="0" t="19050" r="8890" b="3746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2310" cy="635"/>
                        </a:xfrm>
                        <a:prstGeom prst="line">
                          <a:avLst/>
                        </a:prstGeom>
                        <a:noFill/>
                        <a:ln w="28829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.95pt;margin-top:-0.35pt;height:0.05pt;width:455.3pt;z-index:251660288;mso-width-relative:page;mso-height-relative:page;" filled="f" stroked="t" coordsize="21600,21600" o:gfxdata="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PMc0dUAAAAFAQAADwAAAAAAAAABACAAAAAiAAAAZHJz&#10;L2Rvd25yZXYueG1sUEsBAhQAFAAAAAgAh07iQBUka1vOAQAAogMAAA4AAAAAAAAAAQAgAAAAJAEA&#10;AGRycy9lMm9Eb2MueG1sUEsFBgAAAAAGAAYAWQEAAGQFAAAAAA==&#10;">
                <v:fill on="f" focussize="0,0"/>
                <v:stroke weight="2.27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4" w:lineRule="exact"/>
        <w:jc w:val="center"/>
        <w:rPr>
          <w:rFonts w:ascii="方正小标宋_GBK" w:hAnsi="宋体" w:eastAsia="方正小标宋_GBK" w:cs="宋体"/>
          <w:b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ascii="黑体" w:hAnsi="黑体" w:eastAsia="黑体" w:cs="宋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重庆资源与环境保护职业学院</w:t>
      </w:r>
    </w:p>
    <w:p>
      <w:pPr>
        <w:spacing w:line="594" w:lineRule="exact"/>
        <w:jc w:val="center"/>
        <w:rPr>
          <w:rFonts w:ascii="黑体" w:hAnsi="黑体" w:eastAsia="黑体" w:cs="宋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关于20</w:t>
      </w:r>
      <w:r>
        <w:rPr>
          <w:rFonts w:hint="eastAsia" w:ascii="黑体" w:hAnsi="黑体" w:eastAsia="黑体" w:cs="宋体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宋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黑体" w:eastAsia="黑体" w:cs="宋体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宋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黑体" w:hAnsi="黑体" w:eastAsia="黑体" w:cs="宋体"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宋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学期期</w:t>
      </w:r>
      <w:r>
        <w:rPr>
          <w:rFonts w:hint="eastAsia" w:ascii="黑体" w:hAnsi="黑体" w:eastAsia="黑体" w:cs="宋体"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黑体" w:hAnsi="黑体" w:eastAsia="黑体" w:cs="宋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教学检查的</w:t>
      </w:r>
    </w:p>
    <w:p>
      <w:pPr>
        <w:spacing w:line="594" w:lineRule="exact"/>
        <w:jc w:val="center"/>
        <w:rPr>
          <w:rFonts w:ascii="黑体" w:hAnsi="黑体" w:eastAsia="黑体" w:cs="宋体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通知</w:t>
      </w:r>
    </w:p>
    <w:p>
      <w:pPr>
        <w:widowControl/>
        <w:spacing w:line="594" w:lineRule="exact"/>
        <w:jc w:val="left"/>
        <w:rPr>
          <w:rFonts w:ascii="宋体" w:hAnsi="宋体" w:eastAsia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ascii="方正仿宋_GBK" w:eastAsia="方正仿宋_GBK" w:cs="AdobeHeitiStd-Regular" w:hAnsiTheme="minorEastAsia"/>
          <w:kern w:val="0"/>
          <w:sz w:val="28"/>
          <w:szCs w:val="28"/>
        </w:rPr>
      </w:pP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 xml:space="preserve">各二级学院： </w:t>
      </w:r>
    </w:p>
    <w:p>
      <w:pPr>
        <w:widowControl/>
        <w:spacing w:line="594" w:lineRule="exact"/>
        <w:ind w:firstLine="694" w:firstLineChars="248"/>
        <w:rPr>
          <w:rFonts w:ascii="方正仿宋_GBK" w:eastAsia="方正仿宋_GBK" w:cs="AdobeHeitiStd-Regular" w:hAnsiTheme="minorEastAsia"/>
          <w:kern w:val="0"/>
          <w:sz w:val="28"/>
          <w:szCs w:val="28"/>
        </w:rPr>
      </w:pPr>
      <w:r>
        <w:rPr>
          <w:rFonts w:ascii="仿宋" w:hAnsi="仿宋" w:eastAsia="仿宋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为了保证</w:t>
      </w:r>
      <w:r>
        <w:rPr>
          <w:rFonts w:hint="eastAsia" w:ascii="仿宋" w:hAnsi="仿宋" w:eastAsia="仿宋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ascii="仿宋" w:hAnsi="仿宋" w:eastAsia="仿宋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学期教学工作的顺利开展和教学秩序的正常运行，及时了解和掌握教学工作</w:t>
      </w:r>
      <w:r>
        <w:rPr>
          <w:rFonts w:hint="eastAsia" w:ascii="仿宋" w:hAnsi="仿宋" w:eastAsia="仿宋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，尤其是新教师</w:t>
      </w:r>
      <w:r>
        <w:rPr>
          <w:rFonts w:ascii="仿宋" w:hAnsi="仿宋" w:eastAsia="仿宋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教学工作</w:t>
      </w:r>
      <w:r>
        <w:rPr>
          <w:rFonts w:ascii="仿宋" w:hAnsi="仿宋" w:eastAsia="仿宋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情况，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加强教学质量与教学资料的管理与监控，及时发现教学工作中存在的问题并提出改进意见，总结经验教训，促进教学质量的提高，根据学院学期教学工作计划，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eastAsia="zh-CN"/>
        </w:rPr>
        <w:t>由教务处牵头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于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val="en-US" w:eastAsia="zh-CN"/>
        </w:rPr>
        <w:t>11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月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日至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val="en-US" w:eastAsia="zh-CN"/>
        </w:rPr>
        <w:t>11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月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val="en-US" w:eastAsia="zh-CN"/>
        </w:rPr>
        <w:t>27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日进行期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eastAsia="zh-CN"/>
        </w:rPr>
        <w:t>中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教学检查，要求各教学单位高度重视，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  <w:lang w:eastAsia="zh-CN"/>
        </w:rPr>
        <w:t>认真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>组织安排</w:t>
      </w:r>
      <w:r>
        <w:rPr>
          <w:rFonts w:ascii="仿宋" w:hAnsi="仿宋" w:eastAsia="仿宋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检查工作</w:t>
      </w:r>
      <w:r>
        <w:rPr>
          <w:rFonts w:hint="eastAsia" w:ascii="仿宋" w:hAnsi="仿宋" w:eastAsia="仿宋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并按要求提交教学材料</w:t>
      </w:r>
      <w:r>
        <w:rPr>
          <w:rFonts w:hint="eastAsia" w:ascii="方正仿宋_GBK" w:eastAsia="方正仿宋_GBK" w:cs="AdobeHeitiStd-Regular" w:hAnsiTheme="minorEastAsia"/>
          <w:kern w:val="0"/>
          <w:sz w:val="28"/>
          <w:szCs w:val="28"/>
        </w:rPr>
        <w:t xml:space="preserve">，切实做到以检查促教学，以检查促规范，以检查促学风。具体工作安排如下： </w:t>
      </w:r>
    </w:p>
    <w:p>
      <w:pPr>
        <w:widowControl/>
        <w:spacing w:line="594" w:lineRule="exact"/>
        <w:ind w:firstLine="600" w:firstLineChars="200"/>
        <w:rPr>
          <w:rFonts w:ascii="黑体" w:hAnsi="黑体" w:eastAsia="黑体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一、组织领导 </w:t>
      </w:r>
    </w:p>
    <w:p>
      <w:pPr>
        <w:widowControl/>
        <w:spacing w:line="594" w:lineRule="exact"/>
        <w:ind w:firstLine="560" w:firstLineChars="200"/>
        <w:rPr>
          <w:rFonts w:ascii="方正仿宋_GBK" w:eastAsia="方正仿宋_GBK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1.期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教学检查领导小组</w:t>
      </w:r>
    </w:p>
    <w:p>
      <w:pPr>
        <w:widowControl/>
        <w:spacing w:line="594" w:lineRule="exact"/>
        <w:ind w:firstLine="560" w:firstLineChars="200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组  长：黄耀五</w:t>
      </w:r>
    </w:p>
    <w:p>
      <w:pPr>
        <w:widowControl/>
        <w:spacing w:line="594" w:lineRule="exact"/>
        <w:ind w:firstLine="560" w:firstLineChars="200"/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副组长：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李朝国</w:t>
      </w:r>
    </w:p>
    <w:p>
      <w:pPr>
        <w:widowControl/>
        <w:spacing w:line="594" w:lineRule="exact"/>
        <w:ind w:firstLine="560" w:firstLineChars="200"/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成  员：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邹洪勇、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邹小南、王晓勤、骆真波、苟兴成、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褚玉峰</w:t>
      </w:r>
    </w:p>
    <w:p>
      <w:pPr>
        <w:widowControl/>
        <w:spacing w:line="594" w:lineRule="exact"/>
        <w:ind w:firstLine="560" w:firstLineChars="200"/>
        <w:rPr>
          <w:rFonts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2.各教学单位期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教学检查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组 </w:t>
      </w:r>
    </w:p>
    <w:p>
      <w:pPr>
        <w:widowControl/>
        <w:spacing w:line="594" w:lineRule="exact"/>
        <w:ind w:firstLine="560" w:firstLineChars="200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 xml:space="preserve">由二级学院院长、教研室主任、教学秘书及相关人员组成 </w:t>
      </w:r>
    </w:p>
    <w:p>
      <w:pPr>
        <w:widowControl/>
        <w:numPr>
          <w:ilvl w:val="0"/>
          <w:numId w:val="1"/>
        </w:numPr>
        <w:spacing w:line="594" w:lineRule="exact"/>
        <w:ind w:firstLine="600" w:firstLineChars="200"/>
        <w:rPr>
          <w:rFonts w:ascii="黑体" w:hAnsi="黑体" w:eastAsia="黑体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检查内容</w:t>
      </w:r>
    </w:p>
    <w:p>
      <w:pPr>
        <w:widowControl/>
        <w:numPr>
          <w:ilvl w:val="0"/>
          <w:numId w:val="2"/>
        </w:numPr>
        <w:spacing w:line="594" w:lineRule="exact"/>
        <w:ind w:left="440" w:leftChars="0" w:firstLine="0" w:firstLineChars="0"/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教学运行</w:t>
      </w:r>
    </w:p>
    <w:tbl>
      <w:tblPr>
        <w:tblStyle w:val="7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58"/>
        <w:gridCol w:w="1701"/>
        <w:gridCol w:w="1417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检查时间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教案、课标、教学进度计划表、听课本、考勤、作业、教学日志等教学材料检查、巡课记录、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教研室活动会议记录、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调停课记录等（</w:t>
            </w:r>
            <w:r>
              <w:rPr>
                <w:rFonts w:hint="eastAsia" w:ascii="黑体" w:hAnsi="黑体" w:eastAsia="黑体" w:cstheme="minorEastAsia"/>
                <w:b/>
                <w:bCs/>
                <w:color w:val="FF0000"/>
                <w:kern w:val="0"/>
                <w:szCs w:val="21"/>
              </w:rPr>
              <w:t>教案、课标</w:t>
            </w:r>
            <w:r>
              <w:rPr>
                <w:rFonts w:hint="eastAsia" w:ascii="黑体" w:hAnsi="黑体" w:eastAsia="黑体" w:cstheme="minorEastAsia"/>
                <w:b/>
                <w:bCs/>
                <w:color w:val="FF0000"/>
                <w:kern w:val="0"/>
                <w:szCs w:val="21"/>
                <w:lang w:eastAsia="zh-CN"/>
              </w:rPr>
              <w:t>、进度表等</w:t>
            </w:r>
            <w:r>
              <w:rPr>
                <w:rFonts w:hint="eastAsia" w:ascii="黑体" w:hAnsi="黑体" w:eastAsia="黑体" w:cstheme="minorEastAsia"/>
                <w:b/>
                <w:bCs/>
                <w:color w:val="FF0000"/>
                <w:kern w:val="0"/>
                <w:szCs w:val="21"/>
              </w:rPr>
              <w:t>请注意格式规范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16日-20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王莉莉、教研室主任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补考与重修梳理情况</w:t>
            </w:r>
          </w:p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教学楼设施设备、多媒体设备使用情况、教室卫生情况（落实每个班级、公共教室卫生）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16日-20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王艳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信息中心、各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学籍梳理情况、新生学籍注册情况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陈先凤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201</w:t>
            </w: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专业实习落实情况（实施方案、指导记录、巡查记录等、专业实习材料）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韩坤、王艳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实训实践教学执行情况（实施方案标准、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教学进度、指导书（任务书）、学生实训报告等</w:t>
            </w: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）；</w:t>
            </w:r>
          </w:p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实训楼实训室、实验室使用情况（设施设备使用规范、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耗材登记表、统计表、设备仪器登记表、维修记录表、使用记录表、本学期开展项目一览表</w:t>
            </w: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）；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theme="min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</w:rPr>
              <w:t>实训室卫生</w:t>
            </w:r>
            <w:r>
              <w:rPr>
                <w:rFonts w:hint="eastAsia" w:ascii="黑体" w:hAnsi="黑体" w:eastAsia="黑体" w:cstheme="minorEastAsia"/>
                <w:bCs/>
                <w:kern w:val="0"/>
                <w:szCs w:val="21"/>
                <w:lang w:eastAsia="zh-CN"/>
              </w:rPr>
              <w:t>等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16日-20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韩坤、王艳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扩招学生教学相关检查、学习通使用情况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16日-20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宋大峰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思修、形策等思政课程材料检查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16日-20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苟兴成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在线选修课学习执行情况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王莉莉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color w:val="auto"/>
                <w:kern w:val="0"/>
                <w:szCs w:val="21"/>
              </w:rPr>
              <w:t>9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各二级学院提交期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中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教学工作总结、教务处归纳总结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EastAsia"/>
                <w:bCs/>
                <w:color w:val="auto"/>
                <w:kern w:val="0"/>
                <w:szCs w:val="21"/>
                <w:lang w:eastAsia="zh-CN"/>
              </w:rPr>
              <w:t>邹洪勇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</w:tr>
    </w:tbl>
    <w:p>
      <w:pPr>
        <w:widowControl/>
        <w:spacing w:line="360" w:lineRule="auto"/>
        <w:ind w:firstLine="420" w:firstLineChars="150"/>
        <w:rPr>
          <w:rFonts w:ascii="黑体" w:hAnsi="黑体" w:eastAsia="黑体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（二）听课、评课</w:t>
      </w:r>
    </w:p>
    <w:tbl>
      <w:tblPr>
        <w:tblStyle w:val="7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91"/>
        <w:gridCol w:w="2268"/>
        <w:gridCol w:w="113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领导听课、评课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李朝国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抽查听课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9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二级学院院长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、教研室主任听课、评课（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二级学院院长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交叉听课，教研室主任听本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所有专任兼职兼课教师）（</w:t>
            </w:r>
            <w:r>
              <w:rPr>
                <w:rFonts w:hint="eastAsia" w:ascii="黑体" w:hAnsi="黑体" w:eastAsia="黑体" w:cstheme="minorEastAsia"/>
                <w:bCs/>
                <w:color w:val="FF0000"/>
                <w:kern w:val="0"/>
                <w:szCs w:val="21"/>
              </w:rPr>
              <w:t>听课评课记录，</w:t>
            </w:r>
            <w:r>
              <w:rPr>
                <w:rFonts w:hint="eastAsia" w:ascii="黑体" w:hAnsi="黑体" w:eastAsia="黑体" w:cstheme="minorEastAsia"/>
                <w:bCs/>
                <w:color w:val="FF0000"/>
                <w:kern w:val="0"/>
                <w:szCs w:val="21"/>
                <w:lang w:eastAsia="zh-CN"/>
              </w:rPr>
              <w:t>听课总结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二级学院院长、教研室主任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新教师及兼课教师全覆盖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9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教研室开展相互听课、评课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教研室主任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9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教务处听课、评课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邹洪勇、王莉莉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抽查听课</w:t>
            </w:r>
          </w:p>
        </w:tc>
      </w:tr>
    </w:tbl>
    <w:p>
      <w:pPr>
        <w:widowControl/>
        <w:spacing w:line="360" w:lineRule="auto"/>
        <w:ind w:firstLine="560" w:firstLineChars="200"/>
        <w:rPr>
          <w:rFonts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本次听课检查的</w:t>
      </w:r>
      <w:r>
        <w:rPr>
          <w:rFonts w:hint="eastAsia" w:ascii="方正仿宋_GBK" w:eastAsia="方正仿宋_GBK" w:hAnsi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为：</w:t>
      </w:r>
      <w:r>
        <w:rPr>
          <w:rFonts w:hint="eastAsia" w:ascii="方正仿宋_GBK" w:eastAsia="方正仿宋_GBK" w:hAnsiTheme="minorEastAsia" w:cstheme="minorEastAsia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新教师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、兼课、兼职教师上课情况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检查教师课前五分钟准备情况，教室环境卫生、学生课前听课状态，促使课堂教学规范有序，学生行为规范意识强。</w:t>
      </w:r>
    </w:p>
    <w:p>
      <w:pPr>
        <w:widowControl/>
        <w:shd w:val="clear" w:color="auto" w:fill="FFFFFF"/>
        <w:spacing w:line="360" w:lineRule="auto"/>
        <w:ind w:firstLine="708" w:firstLineChars="236"/>
        <w:rPr>
          <w:rFonts w:ascii="黑体" w:hAnsi="黑体" w:eastAsia="黑体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三、期</w:t>
      </w:r>
      <w:r>
        <w:rPr>
          <w:rFonts w:hint="eastAsia" w:ascii="黑体" w:hAnsi="黑体" w:eastAsia="黑体" w:cs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黑体" w:hAnsi="黑体" w:eastAsia="黑体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教学检查规程</w:t>
      </w:r>
    </w:p>
    <w:p>
      <w:pPr>
        <w:widowControl/>
        <w:spacing w:line="360" w:lineRule="auto"/>
        <w:ind w:firstLine="694" w:firstLineChars="248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常规检查与专项检查相结合；二级学院全面自查与教务处重点抽检相结合；二级学院院长和教研室主任发挥好领导作用。此次检查的重点项目是</w:t>
      </w:r>
      <w:r>
        <w:rPr>
          <w:rFonts w:hint="eastAsia" w:ascii="方正仿宋_GBK" w:eastAsia="方正仿宋_GBK" w:cs="AdobeHeitiStd-Regular"/>
          <w:b/>
          <w:bCs/>
          <w:kern w:val="0"/>
          <w:sz w:val="28"/>
          <w:szCs w:val="28"/>
        </w:rPr>
        <w:t>新教师课堂教学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、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教学材料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及实习实训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教学相关检查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等。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1.检查性听课（第10-12周）</w:t>
      </w:r>
    </w:p>
    <w:p>
      <w:pPr>
        <w:widowControl/>
        <w:spacing w:line="360" w:lineRule="auto"/>
        <w:ind w:firstLine="560" w:firstLineChars="200"/>
        <w:rPr>
          <w:rFonts w:hint="eastAsia"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进行交叉听课，教研室主任对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本学院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所有专兼职教师进行听课，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各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教研室组织教师之间互相听课，并集中进行评课，提炼优点，指出不足，相互帮助，共同提高（</w:t>
      </w:r>
      <w:r>
        <w:rPr>
          <w:rFonts w:hint="eastAsia" w:ascii="方正仿宋_GBK" w:eastAsia="方正仿宋_GBK" w:cs="AdobeHeitiStd-Regular"/>
          <w:color w:val="FF0000"/>
          <w:kern w:val="0"/>
          <w:sz w:val="28"/>
          <w:szCs w:val="28"/>
        </w:rPr>
        <w:t>有评课记录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）；期中教学检查听课组成员对</w:t>
      </w:r>
      <w:r>
        <w:rPr>
          <w:rFonts w:ascii="方正仿宋_GBK" w:eastAsia="方正仿宋_GBK" w:cs="AdobeHeitiStd-Regular"/>
          <w:kern w:val="0"/>
          <w:sz w:val="28"/>
          <w:szCs w:val="28"/>
        </w:rPr>
        <w:t>教师课程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进行检查性听课，教务处汇总听课评价信息并反馈至各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。</w:t>
      </w:r>
    </w:p>
    <w:p>
      <w:pPr>
        <w:widowControl/>
        <w:spacing w:line="480" w:lineRule="auto"/>
        <w:jc w:val="center"/>
        <w:rPr>
          <w:rFonts w:hint="eastAsia" w:ascii="黑体" w:hAnsi="黑体" w:eastAsia="黑体" w:cs="AdobeHeitiStd-Regular"/>
          <w:kern w:val="0"/>
          <w:sz w:val="24"/>
        </w:rPr>
      </w:pPr>
    </w:p>
    <w:p>
      <w:pPr>
        <w:widowControl/>
        <w:spacing w:line="480" w:lineRule="auto"/>
        <w:jc w:val="center"/>
        <w:rPr>
          <w:rFonts w:ascii="黑体" w:hAnsi="黑体" w:eastAsia="黑体" w:cs="AdobeHeitiStd-Regular"/>
          <w:kern w:val="0"/>
          <w:sz w:val="24"/>
        </w:rPr>
      </w:pPr>
      <w:r>
        <w:rPr>
          <w:rFonts w:hint="eastAsia" w:ascii="黑体" w:hAnsi="黑体" w:eastAsia="黑体" w:cs="AdobeHeitiStd-Regular"/>
          <w:kern w:val="0"/>
          <w:sz w:val="24"/>
        </w:rPr>
        <w:t>二级学院院长听课表</w:t>
      </w:r>
    </w:p>
    <w:tbl>
      <w:tblPr>
        <w:tblStyle w:val="7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21"/>
        <w:gridCol w:w="1878"/>
        <w:gridCol w:w="1427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1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b/>
                <w:bCs/>
                <w:kern w:val="0"/>
                <w:szCs w:val="21"/>
              </w:rPr>
              <w:t>听课人</w:t>
            </w:r>
          </w:p>
        </w:tc>
        <w:tc>
          <w:tcPr>
            <w:tcW w:w="1878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b/>
                <w:bCs/>
                <w:kern w:val="0"/>
                <w:szCs w:val="21"/>
              </w:rPr>
              <w:t>听课系部</w:t>
            </w:r>
          </w:p>
        </w:tc>
        <w:tc>
          <w:tcPr>
            <w:tcW w:w="1427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b/>
                <w:bCs/>
                <w:kern w:val="0"/>
                <w:szCs w:val="21"/>
              </w:rPr>
              <w:t>听课时间</w:t>
            </w:r>
          </w:p>
        </w:tc>
        <w:tc>
          <w:tcPr>
            <w:tcW w:w="3755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</w:rPr>
              <w:t>1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AdobeHeitiStd-Regular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u w:val="none"/>
                <w:lang w:eastAsia="zh-CN"/>
              </w:rPr>
              <w:t>李朝国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邹洪勇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</w:rPr>
              <w:t>苟兴成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褚玉峰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通识学院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</w:rPr>
              <w:t>马克思主义学院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智能工程学院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755" w:type="dxa"/>
          </w:tcPr>
          <w:p>
            <w:pPr>
              <w:widowControl/>
              <w:spacing w:line="360" w:lineRule="auto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color w:val="FF0000"/>
                <w:kern w:val="0"/>
                <w:szCs w:val="21"/>
                <w:lang w:eastAsia="zh-CN"/>
              </w:rPr>
              <w:t>新教师：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刘扬、冉雪琴、袁梦、叶淑华、张正妍、范云峰、张阳、周烁、姜英平、郑闯、王剑涛、邓雷雨、黄家成、郑怒、王瑞、陈召、刘草</w:t>
            </w:r>
          </w:p>
          <w:p>
            <w:pPr>
              <w:spacing w:line="360" w:lineRule="auto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color w:val="FF0000"/>
                <w:kern w:val="0"/>
                <w:szCs w:val="21"/>
                <w:lang w:eastAsia="zh-CN"/>
              </w:rPr>
              <w:t>及兼课兼职老师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</w:rPr>
              <w:t>2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u w:val="none"/>
                <w:lang w:eastAsia="zh-CN"/>
              </w:rPr>
              <w:t>邹小南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王晓勤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</w:rPr>
              <w:t>骆真波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生态环境学院</w:t>
            </w:r>
          </w:p>
          <w:p>
            <w:pPr>
              <w:widowControl/>
              <w:spacing w:line="360" w:lineRule="auto"/>
              <w:rPr>
                <w:rFonts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管理与健康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</w:rPr>
              <w:t>学院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教育与体育学院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755" w:type="dxa"/>
          </w:tcPr>
          <w:p>
            <w:pPr>
              <w:spacing w:line="360" w:lineRule="auto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color w:val="FF0000"/>
                <w:kern w:val="0"/>
                <w:szCs w:val="21"/>
                <w:lang w:eastAsia="zh-CN"/>
              </w:rPr>
              <w:t>新教师：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蒋家兴、罗锋、陈洪、刘娅、王业宁、张丹丹、荣嫣、高俊哲、郑冬梅、杨麟、李海均、崔岩、谢元亭、郑清秀</w:t>
            </w:r>
          </w:p>
          <w:p>
            <w:pPr>
              <w:spacing w:line="360" w:lineRule="auto"/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AdobeHeitiStd-Regular"/>
                <w:color w:val="FF0000"/>
                <w:kern w:val="0"/>
                <w:szCs w:val="21"/>
                <w:lang w:eastAsia="zh-CN"/>
              </w:rPr>
              <w:t>及兼课兼职老师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011" w:type="dxa"/>
            <w:gridSpan w:val="5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AdobeHeitiStd-Regular"/>
                <w:kern w:val="0"/>
                <w:szCs w:val="21"/>
              </w:rPr>
            </w:pPr>
            <w:r>
              <w:rPr>
                <w:rFonts w:hint="eastAsia" w:ascii="黑体" w:hAnsi="黑体" w:eastAsia="黑体" w:cs="AdobeHeitiStd-Regular"/>
                <w:kern w:val="0"/>
                <w:szCs w:val="21"/>
              </w:rPr>
              <w:t>备注：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  <w:lang w:eastAsia="zh-CN"/>
              </w:rPr>
              <w:t>本学期新教师比较多，需加强对新教师的听课及教学管理</w:t>
            </w:r>
            <w:r>
              <w:rPr>
                <w:rFonts w:hint="eastAsia" w:ascii="黑体" w:hAnsi="黑体" w:eastAsia="黑体" w:cs="AdobeHeitiStd-Regular"/>
                <w:kern w:val="0"/>
                <w:szCs w:val="21"/>
              </w:rPr>
              <w:t>。</w:t>
            </w:r>
          </w:p>
        </w:tc>
      </w:tr>
    </w:tbl>
    <w:p>
      <w:pPr>
        <w:widowControl/>
        <w:spacing w:line="360" w:lineRule="auto"/>
        <w:ind w:firstLine="560" w:firstLineChars="200"/>
        <w:rPr>
          <w:rFonts w:hint="eastAsia" w:ascii="方正仿宋_GBK" w:eastAsia="方正仿宋_GBK" w:cs="AdobeHeitiStd-Regular"/>
          <w:kern w:val="0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2.教学文件检查（第10-12周）</w:t>
      </w:r>
    </w:p>
    <w:p>
      <w:pPr>
        <w:widowControl/>
        <w:spacing w:line="360" w:lineRule="auto"/>
        <w:ind w:firstLine="420" w:firstLineChars="150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（1）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自查（第11周）：各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检查所有课程的教学进度计划、教案、课标、实训任务单、学生实训报告、实践教学的照片、录像等材料，重点查看B、C类课程是否采用项目教学法等；检查教师听课本、参加教研活动情况（教师的会议记录）</w:t>
      </w:r>
      <w:r>
        <w:rPr>
          <w:rFonts w:ascii="方正仿宋_GBK" w:eastAsia="方正仿宋_GBK" w:cs="AdobeHeitiStd-Regular"/>
          <w:kern w:val="0"/>
          <w:sz w:val="28"/>
          <w:szCs w:val="28"/>
        </w:rPr>
        <w:t>，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并</w:t>
      </w:r>
      <w:r>
        <w:rPr>
          <w:rFonts w:ascii="方正仿宋_GBK" w:eastAsia="方正仿宋_GBK" w:cs="AdobeHeitiStd-Regular"/>
          <w:kern w:val="0"/>
          <w:sz w:val="28"/>
          <w:szCs w:val="28"/>
        </w:rPr>
        <w:t>填写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相关</w:t>
      </w:r>
      <w:r>
        <w:rPr>
          <w:rFonts w:ascii="方正仿宋_GBK" w:eastAsia="方正仿宋_GBK" w:cs="AdobeHeitiStd-Regular"/>
          <w:kern w:val="0"/>
          <w:sz w:val="28"/>
          <w:szCs w:val="28"/>
        </w:rPr>
        <w:t>表格（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见</w:t>
      </w:r>
      <w:r>
        <w:rPr>
          <w:rFonts w:ascii="方正仿宋_GBK" w:eastAsia="方正仿宋_GBK" w:cs="AdobeHeitiStd-Regular"/>
          <w:kern w:val="0"/>
          <w:sz w:val="28"/>
          <w:szCs w:val="28"/>
        </w:rPr>
        <w:t>附件）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，于第12周星期三下午五点前交教务处。</w:t>
      </w:r>
    </w:p>
    <w:p>
      <w:pPr>
        <w:widowControl/>
        <w:spacing w:line="360" w:lineRule="auto"/>
        <w:ind w:firstLine="420" w:firstLineChars="150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（2）教务处抽查（第12周）：教务处根据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自查情况于第12周重点抽查相关材料。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3.实训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室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检查（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第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11-12周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实训室使用情况检查：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由教务处牵头，各实验室管理员为本次实训室检查直接责任人，对实训室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使用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情况排查。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.召开学生座谈会（第10-12周）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各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组织召开学生座谈会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，了解学生尤其是新生的学习和生活情况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。学生座谈会的意见由各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教学秘书整理后形成文字材料交至教务处。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.教师座谈会（第10-12周）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各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二级学院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组织教师座谈会，对半期以来教学情况提出反馈意见，同时对本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学院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的教师教学组织、课堂教学等情况进行总结汇报(会议纪要)。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  <w:lang w:val="en-US" w:eastAsia="zh-CN"/>
        </w:rPr>
        <w:t>6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.教务处召开总结反馈会，总结半期教学情况，教学秩序情况。（第13周）</w:t>
      </w:r>
    </w:p>
    <w:p>
      <w:pPr>
        <w:widowControl/>
        <w:spacing w:line="360" w:lineRule="auto"/>
        <w:ind w:firstLine="600" w:firstLineChars="200"/>
        <w:jc w:val="left"/>
        <w:rPr>
          <w:rFonts w:ascii="黑体" w:hAnsi="黑体" w:eastAsia="黑体" w:cs="AdobeHeitiStd-Regular"/>
          <w:kern w:val="0"/>
          <w:sz w:val="30"/>
          <w:szCs w:val="30"/>
        </w:rPr>
      </w:pPr>
      <w:r>
        <w:rPr>
          <w:rFonts w:hint="eastAsia" w:ascii="黑体" w:hAnsi="黑体" w:eastAsia="黑体" w:cs="AdobeHeitiStd-Regular"/>
          <w:kern w:val="0"/>
          <w:sz w:val="30"/>
          <w:szCs w:val="30"/>
        </w:rPr>
        <w:t>四、其它说明</w:t>
      </w:r>
    </w:p>
    <w:p>
      <w:pPr>
        <w:widowControl/>
        <w:spacing w:line="360" w:lineRule="auto"/>
        <w:ind w:firstLine="560" w:firstLineChars="200"/>
        <w:jc w:val="left"/>
        <w:rPr>
          <w:rFonts w:ascii="方正仿宋_GBK" w:eastAsia="方正仿宋_GBK" w:cs="AdobeHeitiStd-Regular"/>
          <w:kern w:val="0"/>
          <w:sz w:val="28"/>
          <w:szCs w:val="28"/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各二级学院成立以二级学院院长为组长的检查小组，落实教学检查的相关工作。本次教学检查，各二级学院需提交总结，撰写教师备课、授课、学生实习等情况及听课总结，并提供好相关佐证材料，以便教务处撰写期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中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教学检查总结并通报教学情况。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教学检查是教学质量监控体系中的重要环节，是及时发现和解决教学工作中的问题、保证教学质量的常规性工作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。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请各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高度重视期中教学检查工作，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方正仿宋_GBK" w:eastAsia="方正仿宋_GBK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要求，认真组织开展好本部门的自检自查，对检查中发现的问题及时整改，确保新学期教学工作有序运行。</w:t>
      </w:r>
    </w:p>
    <w:p>
      <w:pPr>
        <w:widowControl/>
        <w:spacing w:line="360" w:lineRule="auto"/>
        <w:ind w:firstLine="560" w:firstLineChars="200"/>
        <w:jc w:val="left"/>
        <w:rPr>
          <w:rFonts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AdobeHeitiStd-Regular"/>
          <w:kern w:val="0"/>
          <w:sz w:val="28"/>
          <w:szCs w:val="28"/>
        </w:rPr>
        <w:t>附件: 期</w:t>
      </w:r>
      <w:r>
        <w:rPr>
          <w:rFonts w:hint="eastAsia" w:ascii="方正仿宋_GBK" w:eastAsia="方正仿宋_GBK" w:cs="AdobeHeitiStd-Regular"/>
          <w:kern w:val="0"/>
          <w:sz w:val="28"/>
          <w:szCs w:val="28"/>
          <w:lang w:eastAsia="zh-CN"/>
        </w:rPr>
        <w:t>中</w:t>
      </w:r>
      <w:r>
        <w:rPr>
          <w:rFonts w:hint="eastAsia" w:ascii="方正仿宋_GBK" w:eastAsia="方正仿宋_GBK" w:cs="AdobeHeitiStd-Regular"/>
          <w:kern w:val="0"/>
          <w:sz w:val="28"/>
          <w:szCs w:val="28"/>
        </w:rPr>
        <w:t>教学检查自查表</w:t>
      </w:r>
    </w:p>
    <w:p>
      <w:pPr>
        <w:tabs>
          <w:tab w:val="left" w:pos="1933"/>
        </w:tabs>
        <w:spacing w:line="600" w:lineRule="exact"/>
        <w:ind w:right="640" w:firstLine="7280" w:firstLineChars="2600"/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33"/>
        </w:tabs>
        <w:spacing w:line="600" w:lineRule="exact"/>
        <w:ind w:right="640" w:firstLine="7280" w:firstLineChars="2600"/>
        <w:rPr>
          <w:rFonts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教务处</w:t>
      </w:r>
    </w:p>
    <w:p>
      <w:pPr>
        <w:tabs>
          <w:tab w:val="left" w:pos="1933"/>
        </w:tabs>
        <w:spacing w:line="600" w:lineRule="exact"/>
        <w:ind w:right="552" w:firstLine="560" w:firstLineChars="200"/>
        <w:jc w:val="right"/>
        <w:rPr>
          <w:rFonts w:hint="eastAsia" w:ascii="黑体" w:hAnsi="黑体" w:eastAsia="黑体"/>
          <w:kern w:val="0"/>
          <w:sz w:val="28"/>
          <w:szCs w:val="28"/>
        </w:rPr>
      </w:pP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eastAsia="方正仿宋_GBK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300" w:lineRule="auto"/>
        <w:textAlignment w:val="baseline"/>
        <w:rPr>
          <w:rFonts w:ascii="黑体" w:hAnsi="黑体" w:eastAsia="黑体"/>
          <w:kern w:val="0"/>
          <w:sz w:val="52"/>
          <w:szCs w:val="52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</w:t>
      </w:r>
    </w:p>
    <w:p>
      <w:pPr>
        <w:widowControl/>
        <w:spacing w:line="300" w:lineRule="auto"/>
        <w:jc w:val="center"/>
        <w:textAlignment w:val="baseline"/>
        <w:rPr>
          <w:rFonts w:ascii="黑体" w:hAnsi="黑体" w:eastAsia="黑体"/>
          <w:kern w:val="0"/>
          <w:sz w:val="52"/>
          <w:szCs w:val="52"/>
        </w:rPr>
      </w:pPr>
    </w:p>
    <w:p>
      <w:pPr>
        <w:widowControl/>
        <w:spacing w:line="300" w:lineRule="auto"/>
        <w:jc w:val="center"/>
        <w:textAlignment w:val="baseline"/>
        <w:rPr>
          <w:rFonts w:ascii="黑体" w:hAnsi="黑体" w:eastAsia="黑体"/>
          <w:kern w:val="0"/>
          <w:sz w:val="52"/>
          <w:szCs w:val="52"/>
        </w:rPr>
      </w:pPr>
      <w:r>
        <w:rPr>
          <w:rFonts w:hint="eastAsia" w:ascii="黑体" w:hAnsi="黑体" w:eastAsia="黑体"/>
          <w:kern w:val="0"/>
          <w:sz w:val="52"/>
          <w:szCs w:val="52"/>
        </w:rPr>
        <w:t>重庆资源与环境保护职业学院</w:t>
      </w:r>
    </w:p>
    <w:p>
      <w:pPr>
        <w:widowControl/>
        <w:spacing w:line="300" w:lineRule="auto"/>
        <w:jc w:val="center"/>
        <w:textAlignment w:val="baseline"/>
        <w:rPr>
          <w:rFonts w:ascii="黑体" w:hAnsi="黑体" w:eastAsia="黑体"/>
          <w:kern w:val="0"/>
          <w:sz w:val="52"/>
          <w:szCs w:val="52"/>
        </w:rPr>
      </w:pPr>
      <w:r>
        <w:rPr>
          <w:rFonts w:hint="eastAsia" w:ascii="黑体" w:hAnsi="黑体" w:eastAsia="黑体"/>
          <w:kern w:val="0"/>
          <w:sz w:val="52"/>
          <w:szCs w:val="52"/>
        </w:rPr>
        <w:t>期</w:t>
      </w:r>
      <w:r>
        <w:rPr>
          <w:rFonts w:hint="eastAsia" w:ascii="黑体" w:hAnsi="黑体" w:eastAsia="黑体"/>
          <w:kern w:val="0"/>
          <w:sz w:val="52"/>
          <w:szCs w:val="52"/>
          <w:lang w:eastAsia="zh-CN"/>
        </w:rPr>
        <w:t>中</w:t>
      </w:r>
      <w:r>
        <w:rPr>
          <w:rFonts w:hint="eastAsia" w:ascii="黑体" w:hAnsi="黑体" w:eastAsia="黑体"/>
          <w:kern w:val="0"/>
          <w:sz w:val="52"/>
          <w:szCs w:val="52"/>
        </w:rPr>
        <w:t>教学检查自查表</w:t>
      </w:r>
    </w:p>
    <w:p>
      <w:pPr>
        <w:widowControl/>
        <w:spacing w:line="300" w:lineRule="auto"/>
        <w:jc w:val="center"/>
        <w:textAlignment w:val="baseline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（20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20</w:t>
      </w:r>
      <w:r>
        <w:rPr>
          <w:rFonts w:hint="eastAsia" w:ascii="仿宋_GB2312" w:hAnsi="宋体" w:eastAsia="仿宋_GB2312"/>
          <w:sz w:val="36"/>
          <w:szCs w:val="36"/>
        </w:rPr>
        <w:t>-202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宋体" w:eastAsia="仿宋_GB2312"/>
          <w:sz w:val="36"/>
          <w:szCs w:val="36"/>
        </w:rPr>
        <w:t>学年第</w:t>
      </w:r>
      <w:r>
        <w:rPr>
          <w:rFonts w:hint="eastAsia" w:ascii="仿宋_GB2312" w:hAnsi="宋体" w:eastAsia="仿宋_GB2312"/>
          <w:sz w:val="36"/>
          <w:szCs w:val="36"/>
          <w:lang w:eastAsia="zh-CN"/>
        </w:rPr>
        <w:t>一</w:t>
      </w:r>
      <w:r>
        <w:rPr>
          <w:rFonts w:hint="eastAsia" w:ascii="仿宋_GB2312" w:hAnsi="宋体" w:eastAsia="仿宋_GB2312"/>
          <w:sz w:val="36"/>
          <w:szCs w:val="36"/>
        </w:rPr>
        <w:t>学期）</w:t>
      </w:r>
    </w:p>
    <w:p>
      <w:pPr>
        <w:widowControl/>
        <w:spacing w:line="300" w:lineRule="auto"/>
        <w:jc w:val="center"/>
        <w:textAlignment w:val="baseline"/>
        <w:rPr>
          <w:rFonts w:ascii="黑体" w:hAnsi="宋体" w:eastAsia="黑体"/>
          <w:sz w:val="28"/>
          <w:szCs w:val="28"/>
        </w:rPr>
      </w:pPr>
    </w:p>
    <w:p>
      <w:pPr>
        <w:widowControl/>
        <w:spacing w:line="300" w:lineRule="auto"/>
        <w:jc w:val="center"/>
        <w:textAlignment w:val="baseline"/>
        <w:rPr>
          <w:rFonts w:ascii="黑体" w:hAnsi="宋体" w:eastAsia="黑体"/>
          <w:sz w:val="28"/>
          <w:szCs w:val="28"/>
        </w:rPr>
      </w:pPr>
    </w:p>
    <w:p>
      <w:pPr>
        <w:widowControl/>
        <w:spacing w:line="300" w:lineRule="auto"/>
        <w:jc w:val="center"/>
        <w:textAlignment w:val="baseline"/>
        <w:rPr>
          <w:rFonts w:ascii="黑体" w:hAnsi="宋体" w:eastAsia="黑体"/>
          <w:sz w:val="28"/>
          <w:szCs w:val="28"/>
        </w:rPr>
      </w:pPr>
    </w:p>
    <w:p>
      <w:pPr>
        <w:widowControl/>
        <w:spacing w:line="300" w:lineRule="auto"/>
        <w:jc w:val="center"/>
        <w:textAlignment w:val="baseline"/>
        <w:rPr>
          <w:rFonts w:ascii="黑体" w:hAnsi="宋体" w:eastAsia="黑体"/>
          <w:sz w:val="28"/>
          <w:szCs w:val="28"/>
        </w:rPr>
      </w:pPr>
    </w:p>
    <w:p>
      <w:pPr>
        <w:widowControl/>
        <w:spacing w:line="300" w:lineRule="auto"/>
        <w:ind w:firstLine="1960" w:firstLineChars="700"/>
        <w:jc w:val="center"/>
        <w:textAlignment w:val="baseline"/>
        <w:rPr>
          <w:rFonts w:ascii="黑体" w:hAnsi="宋体" w:eastAsia="黑体"/>
          <w:sz w:val="28"/>
          <w:szCs w:val="28"/>
        </w:rPr>
      </w:pPr>
    </w:p>
    <w:p>
      <w:pPr>
        <w:ind w:firstLine="1960" w:firstLineChars="7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教 学 单 位：</w:t>
      </w:r>
    </w:p>
    <w:p>
      <w:pPr>
        <w:ind w:firstLine="1960" w:firstLineChars="700"/>
        <w:rPr>
          <w:rFonts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检 查 时 间：</w:t>
      </w:r>
    </w:p>
    <w:p>
      <w:pPr>
        <w:ind w:firstLine="1960" w:firstLineChars="7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填 表 人 员：</w:t>
      </w: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widowControl/>
        <w:spacing w:line="300" w:lineRule="auto"/>
        <w:jc w:val="center"/>
        <w:textAlignment w:val="baseline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spacing w:line="300" w:lineRule="auto"/>
        <w:jc w:val="center"/>
        <w:textAlignment w:val="baseline"/>
        <w:rPr>
          <w:rFonts w:ascii="黑体" w:hAnsi="黑体" w:eastAsia="黑体"/>
          <w:kern w:val="0"/>
          <w:sz w:val="28"/>
          <w:szCs w:val="28"/>
        </w:rPr>
      </w:pPr>
    </w:p>
    <w:p>
      <w:pPr>
        <w:spacing w:line="500" w:lineRule="exact"/>
        <w:ind w:firstLine="140" w:firstLineChars="50"/>
        <w:rPr>
          <w:rFonts w:ascii="黑体" w:hAnsi="黑体" w:eastAsia="黑体"/>
          <w:kern w:val="0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34" w:right="1446" w:bottom="850" w:left="1446" w:header="0" w:footer="992" w:gutter="0"/>
          <w:cols w:space="0" w:num="1"/>
          <w:rtlGutter w:val="0"/>
          <w:docGrid w:type="lines" w:linePitch="312" w:charSpace="0"/>
        </w:sectPr>
      </w:pPr>
    </w:p>
    <w:p>
      <w:pPr>
        <w:spacing w:line="500" w:lineRule="exact"/>
        <w:ind w:firstLine="14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表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1                                       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/>
          <w:kern w:val="0"/>
          <w:sz w:val="28"/>
          <w:szCs w:val="28"/>
        </w:rPr>
        <w:t>教学运行情况</w:t>
      </w:r>
    </w:p>
    <w:p>
      <w:pPr>
        <w:ind w:firstLine="1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单位名称：                          填表人：                                                                       填写日期：     年   月   日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281"/>
        <w:gridCol w:w="3062"/>
        <w:gridCol w:w="1023"/>
        <w:gridCol w:w="639"/>
        <w:gridCol w:w="1001"/>
        <w:gridCol w:w="1274"/>
        <w:gridCol w:w="1136"/>
        <w:gridCol w:w="851"/>
        <w:gridCol w:w="709"/>
        <w:gridCol w:w="709"/>
        <w:gridCol w:w="989"/>
        <w:gridCol w:w="709"/>
        <w:gridCol w:w="706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教师姓名</w:t>
            </w:r>
          </w:p>
        </w:tc>
        <w:tc>
          <w:tcPr>
            <w:tcW w:w="99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课 程 名 称</w:t>
            </w:r>
          </w:p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（ 含实训 ）</w:t>
            </w:r>
          </w:p>
        </w:tc>
        <w:tc>
          <w:tcPr>
            <w:tcW w:w="33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周</w:t>
            </w:r>
          </w:p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课</w:t>
            </w:r>
          </w:p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时</w:t>
            </w: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widowControl/>
              <w:spacing w:line="240" w:lineRule="exact"/>
              <w:ind w:right="-59" w:rightChars="-28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right="-59" w:rightChars="-28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课程标准</w:t>
            </w: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widowControl/>
              <w:spacing w:line="240" w:lineRule="exact"/>
              <w:ind w:left="-16" w:leftChars="-51" w:right="-59" w:rightChars="-28" w:hanging="91" w:hangingChars="51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left="-16" w:leftChars="-51" w:right="-59" w:rightChars="-28" w:hanging="91" w:hangingChars="51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顶岗实习标准</w:t>
            </w: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ind w:left="-16" w:leftChars="-51" w:right="-59" w:rightChars="-28" w:hanging="91" w:hangingChars="51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教学进度表</w:t>
            </w:r>
          </w:p>
        </w:tc>
        <w:tc>
          <w:tcPr>
            <w:tcW w:w="508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作业与答疑</w:t>
            </w: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  <w:t>教案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  <w:t>实训指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  <w:t>导书</w:t>
            </w: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实训报告</w:t>
            </w: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听课</w:t>
            </w:r>
          </w:p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次数</w:t>
            </w:r>
          </w:p>
        </w:tc>
        <w:tc>
          <w:tcPr>
            <w:tcW w:w="256" w:type="pct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调停课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 w:val="continue"/>
            <w:shd w:val="clear" w:color="auto" w:fill="auto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vMerge w:val="continue"/>
            <w:shd w:val="clear" w:color="auto" w:fill="auto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6" w:type="pct"/>
          </w:tcPr>
          <w:p>
            <w:pPr>
              <w:widowControl/>
              <w:spacing w:line="240" w:lineRule="exact"/>
              <w:ind w:left="-90" w:leftChars="-43" w:right="-109" w:rightChars="-52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left="-90" w:leftChars="-43" w:right="-109" w:rightChars="-52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优、良</w:t>
            </w:r>
          </w:p>
        </w:tc>
        <w:tc>
          <w:tcPr>
            <w:tcW w:w="415" w:type="pct"/>
          </w:tcPr>
          <w:p>
            <w:pPr>
              <w:widowControl/>
              <w:spacing w:line="240" w:lineRule="exact"/>
              <w:ind w:left="-61" w:leftChars="-29"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left="-61" w:leftChars="-29"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有、无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1" w:leftChars="-29" w:right="-59" w:rightChars="-28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是否与教案一致</w:t>
            </w: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批改作业次数</w:t>
            </w: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答疑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次数</w:t>
            </w: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ind w:right="-88" w:rightChars="-42" w:firstLine="90" w:firstLineChars="50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优、良</w:t>
            </w: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优、良</w:t>
            </w: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有、无</w:t>
            </w: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73" w:leftChars="-35" w:right="-99" w:rightChars="-47" w:firstLine="2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widowControl/>
              <w:spacing w:line="240" w:lineRule="exact"/>
              <w:ind w:left="-73" w:leftChars="-35" w:right="-99" w:rightChars="-47" w:firstLine="2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ind w:right="-59" w:rightChars="-28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</w:tcPr>
          <w:p>
            <w:pPr>
              <w:spacing w:after="156" w:afterLines="5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rPr>
          <w:rFonts w:ascii="黑体" w:eastAsia="黑体"/>
          <w:sz w:val="28"/>
          <w:szCs w:val="28"/>
        </w:rPr>
        <w:sectPr>
          <w:pgSz w:w="16838" w:h="11906" w:orient="landscape"/>
          <w:pgMar w:top="1134" w:right="851" w:bottom="1134" w:left="851" w:header="0" w:footer="0" w:gutter="0"/>
          <w:cols w:space="425" w:num="1"/>
          <w:docGrid w:type="line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表2 </w:t>
      </w:r>
    </w:p>
    <w:p>
      <w:pPr>
        <w:widowControl/>
        <w:spacing w:line="400" w:lineRule="exact"/>
        <w:ind w:right="210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  <w:t>听课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评价表</w:t>
      </w:r>
    </w:p>
    <w:p>
      <w:pPr>
        <w:spacing w:line="40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听课人：            教室：           听课时间：　　 年　 月 　日   星期 　第　　节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259"/>
        <w:gridCol w:w="540"/>
        <w:gridCol w:w="1915"/>
        <w:gridCol w:w="567"/>
        <w:gridCol w:w="1701"/>
        <w:gridCol w:w="709"/>
        <w:gridCol w:w="42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班级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课程名称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讲课内容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评价内容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评价权重</w:t>
            </w:r>
          </w:p>
        </w:tc>
        <w:tc>
          <w:tcPr>
            <w:tcW w:w="85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仪表端庄，教态亲切、自然。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温故到位，导入新课自然、有趣。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语言流利，表达顺畅、有感染力、自然、富有逻辑性、普通话标准并富有情感。（语言语调标准）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重点、难点讲练突出、适当并符合知识建构理论。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现代信息化教学手段使用得当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，线上线下混合式教学</w:t>
            </w:r>
            <w:r>
              <w:rPr>
                <w:rFonts w:hint="eastAsia" w:ascii="黑体" w:hAnsi="黑体" w:eastAsia="黑体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在教学方法方面基本采用了学为主体，教为主导，启发诱导，学思结合的当代教育新理念。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课堂气氛活跃，双边活动充分，“收、放”恰当，并具有有效性和可控性。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课堂评价新视野的“六种状态”良好。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9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板书工整，书写速度快，板书内容的主、副区布局合理。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时间分布合理。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982" w:type="dxa"/>
            <w:gridSpan w:val="5"/>
            <w:vAlign w:val="center"/>
          </w:tcPr>
          <w:p>
            <w:pPr>
              <w:widowControl/>
              <w:spacing w:line="360" w:lineRule="auto"/>
              <w:ind w:firstLine="2520" w:firstLineChars="120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合计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综合评价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966" w:type="dxa"/>
            <w:gridSpan w:val="8"/>
          </w:tcPr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outlineLvl w:val="0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</w:tbl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pStyle w:val="5"/>
        <w:spacing w:beforeAutospacing="0" w:afterAutospacing="0" w:line="20" w:lineRule="exact"/>
        <w:rPr>
          <w:sz w:val="28"/>
          <w:szCs w:val="28"/>
        </w:rPr>
      </w:pPr>
    </w:p>
    <w:p>
      <w:pPr>
        <w:rPr>
          <w:sz w:val="28"/>
          <w:szCs w:val="28"/>
        </w:rPr>
        <w:sectPr>
          <w:head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  <w:sectPr>
          <w:headerReference r:id="rId8" w:type="default"/>
          <w:footerReference r:id="rId10" w:type="default"/>
          <w:headerReference r:id="rId9" w:type="even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表</w:t>
      </w:r>
      <w:r>
        <w:rPr>
          <w:rFonts w:hint="eastAsia" w:asci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</w:rPr>
        <w:t xml:space="preserve">                  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</w:rPr>
        <w:t>学生座谈会记录</w:t>
      </w:r>
    </w:p>
    <w:tbl>
      <w:tblPr>
        <w:tblStyle w:val="6"/>
        <w:tblW w:w="865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2825"/>
        <w:gridCol w:w="1500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座谈主题</w:t>
            </w:r>
          </w:p>
        </w:tc>
        <w:tc>
          <w:tcPr>
            <w:tcW w:w="7436" w:type="dxa"/>
            <w:gridSpan w:val="3"/>
            <w:vAlign w:val="center"/>
          </w:tcPr>
          <w:p>
            <w:pPr>
              <w:widowControl/>
              <w:ind w:firstLine="3045" w:firstLineChars="14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部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门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会议主持人</w:t>
            </w:r>
          </w:p>
        </w:tc>
        <w:tc>
          <w:tcPr>
            <w:tcW w:w="3111" w:type="dxa"/>
            <w:vAlign w:val="center"/>
          </w:tcPr>
          <w:p>
            <w:pPr>
              <w:widowControl/>
              <w:ind w:firstLine="3045" w:firstLineChars="14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会议日期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会议地点</w:t>
            </w:r>
          </w:p>
        </w:tc>
        <w:tc>
          <w:tcPr>
            <w:tcW w:w="3111" w:type="dxa"/>
            <w:vAlign w:val="center"/>
          </w:tcPr>
          <w:p>
            <w:pPr>
              <w:widowControl/>
              <w:ind w:firstLine="3045" w:firstLineChars="14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</w:trPr>
        <w:tc>
          <w:tcPr>
            <w:tcW w:w="8657" w:type="dxa"/>
            <w:gridSpan w:val="4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参会学生：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1" w:hRule="atLeast"/>
        </w:trPr>
        <w:tc>
          <w:tcPr>
            <w:tcW w:w="8657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8657" w:type="dxa"/>
            <w:gridSpan w:val="4"/>
            <w:vAlign w:val="center"/>
          </w:tcPr>
          <w:p>
            <w:pPr>
              <w:spacing w:line="360" w:lineRule="auto"/>
              <w:ind w:firstLine="4410" w:firstLineChars="21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会议记录人（签字）：</w:t>
            </w:r>
          </w:p>
        </w:tc>
      </w:tr>
    </w:tbl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表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sz w:val="28"/>
          <w:szCs w:val="28"/>
        </w:rPr>
        <w:t xml:space="preserve">                 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  <w:lang w:eastAsia="zh-CN"/>
        </w:rPr>
        <w:t>教师</w:t>
      </w:r>
      <w:r>
        <w:rPr>
          <w:rFonts w:hint="eastAsia" w:ascii="黑体" w:hAnsi="宋体" w:eastAsia="黑体"/>
          <w:kern w:val="0"/>
          <w:sz w:val="28"/>
          <w:szCs w:val="28"/>
        </w:rPr>
        <w:t>座谈会记录</w:t>
      </w:r>
    </w:p>
    <w:tbl>
      <w:tblPr>
        <w:tblStyle w:val="6"/>
        <w:tblW w:w="865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2825"/>
        <w:gridCol w:w="1500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座谈主题</w:t>
            </w:r>
          </w:p>
        </w:tc>
        <w:tc>
          <w:tcPr>
            <w:tcW w:w="7436" w:type="dxa"/>
            <w:gridSpan w:val="3"/>
            <w:vAlign w:val="center"/>
          </w:tcPr>
          <w:p>
            <w:pPr>
              <w:widowControl/>
              <w:ind w:firstLine="3045" w:firstLineChars="14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部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门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会议主持人</w:t>
            </w:r>
          </w:p>
        </w:tc>
        <w:tc>
          <w:tcPr>
            <w:tcW w:w="3111" w:type="dxa"/>
            <w:vAlign w:val="center"/>
          </w:tcPr>
          <w:p>
            <w:pPr>
              <w:widowControl/>
              <w:ind w:firstLine="3045" w:firstLineChars="14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会议日期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会议地点</w:t>
            </w:r>
          </w:p>
        </w:tc>
        <w:tc>
          <w:tcPr>
            <w:tcW w:w="3111" w:type="dxa"/>
            <w:vAlign w:val="center"/>
          </w:tcPr>
          <w:p>
            <w:pPr>
              <w:widowControl/>
              <w:ind w:firstLine="3045" w:firstLineChars="14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</w:trPr>
        <w:tc>
          <w:tcPr>
            <w:tcW w:w="8657" w:type="dxa"/>
            <w:gridSpan w:val="4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参会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教师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1" w:hRule="atLeast"/>
        </w:trPr>
        <w:tc>
          <w:tcPr>
            <w:tcW w:w="8657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8657" w:type="dxa"/>
            <w:gridSpan w:val="4"/>
            <w:vAlign w:val="center"/>
          </w:tcPr>
          <w:p>
            <w:pPr>
              <w:spacing w:line="360" w:lineRule="auto"/>
              <w:ind w:firstLine="4410" w:firstLineChars="21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会议记录人（签字）：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HeitiStd-Regular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362376"/>
    </w:sdtPr>
    <w:sdtContent>
      <w:p>
        <w:pPr>
          <w:pStyle w:val="3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-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-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362383"/>
    </w:sdtPr>
    <w:sdtContent>
      <w:p>
        <w:pPr>
          <w:pStyle w:val="3"/>
        </w:pPr>
        <w:r>
          <w:rPr>
            <w:rFonts w:hint="eastAsia" w:asciiTheme="minorEastAsia" w:hAnsiTheme="minorEastAsia"/>
            <w:sz w:val="28"/>
            <w:szCs w:val="28"/>
          </w:rPr>
          <w:t xml:space="preserve">-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-</w:t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362376"/>
    </w:sdtPr>
    <w:sdtContent>
      <w:p>
        <w:pPr>
          <w:pStyle w:val="3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-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-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  <w:r>
      <w:br w:type="textWrapping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084977"/>
    <w:multiLevelType w:val="singleLevel"/>
    <w:tmpl w:val="C00849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ABA1D5"/>
    <w:multiLevelType w:val="singleLevel"/>
    <w:tmpl w:val="5CABA1D5"/>
    <w:lvl w:ilvl="0" w:tentative="0">
      <w:start w:val="1"/>
      <w:numFmt w:val="chineseCounting"/>
      <w:suff w:val="nothing"/>
      <w:lvlText w:val="（%1）"/>
      <w:lvlJc w:val="left"/>
      <w:pPr>
        <w:ind w:left="4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35530"/>
    <w:rsid w:val="00015C83"/>
    <w:rsid w:val="00037A19"/>
    <w:rsid w:val="000556B7"/>
    <w:rsid w:val="000578E8"/>
    <w:rsid w:val="000643BB"/>
    <w:rsid w:val="001A397A"/>
    <w:rsid w:val="00200274"/>
    <w:rsid w:val="00206DCD"/>
    <w:rsid w:val="00224FE7"/>
    <w:rsid w:val="00246E7D"/>
    <w:rsid w:val="002B7445"/>
    <w:rsid w:val="002C1DAC"/>
    <w:rsid w:val="002D1DBC"/>
    <w:rsid w:val="002F579F"/>
    <w:rsid w:val="002F5B27"/>
    <w:rsid w:val="003155D3"/>
    <w:rsid w:val="00325222"/>
    <w:rsid w:val="0033515D"/>
    <w:rsid w:val="00341FCC"/>
    <w:rsid w:val="0035393F"/>
    <w:rsid w:val="003C3098"/>
    <w:rsid w:val="003C67B9"/>
    <w:rsid w:val="0042608D"/>
    <w:rsid w:val="00472563"/>
    <w:rsid w:val="00475567"/>
    <w:rsid w:val="0047785C"/>
    <w:rsid w:val="004E3B78"/>
    <w:rsid w:val="00502490"/>
    <w:rsid w:val="00544D8F"/>
    <w:rsid w:val="005D523A"/>
    <w:rsid w:val="005E5F69"/>
    <w:rsid w:val="006B1189"/>
    <w:rsid w:val="006C020B"/>
    <w:rsid w:val="006F2C82"/>
    <w:rsid w:val="007031DE"/>
    <w:rsid w:val="00775E61"/>
    <w:rsid w:val="00780823"/>
    <w:rsid w:val="0078280A"/>
    <w:rsid w:val="00782F30"/>
    <w:rsid w:val="00792787"/>
    <w:rsid w:val="00801960"/>
    <w:rsid w:val="00821726"/>
    <w:rsid w:val="008510FB"/>
    <w:rsid w:val="00875426"/>
    <w:rsid w:val="008A74A6"/>
    <w:rsid w:val="008B25F0"/>
    <w:rsid w:val="008F3C36"/>
    <w:rsid w:val="00905625"/>
    <w:rsid w:val="009119C1"/>
    <w:rsid w:val="00982CE6"/>
    <w:rsid w:val="009E5BD3"/>
    <w:rsid w:val="009F1022"/>
    <w:rsid w:val="00A1171B"/>
    <w:rsid w:val="00A23912"/>
    <w:rsid w:val="00A34CC3"/>
    <w:rsid w:val="00A74509"/>
    <w:rsid w:val="00AB4193"/>
    <w:rsid w:val="00AC46A9"/>
    <w:rsid w:val="00B61BE3"/>
    <w:rsid w:val="00B810F0"/>
    <w:rsid w:val="00BB5FB3"/>
    <w:rsid w:val="00BF0A52"/>
    <w:rsid w:val="00C06E76"/>
    <w:rsid w:val="00C41A1A"/>
    <w:rsid w:val="00C55EF2"/>
    <w:rsid w:val="00CB284B"/>
    <w:rsid w:val="00D579F7"/>
    <w:rsid w:val="00D603EE"/>
    <w:rsid w:val="00D61391"/>
    <w:rsid w:val="00D76F02"/>
    <w:rsid w:val="00D7740B"/>
    <w:rsid w:val="00D87BB9"/>
    <w:rsid w:val="00DC0D06"/>
    <w:rsid w:val="00DC63EF"/>
    <w:rsid w:val="00DE3414"/>
    <w:rsid w:val="00DF3899"/>
    <w:rsid w:val="00E74621"/>
    <w:rsid w:val="00E82FC9"/>
    <w:rsid w:val="00EA727F"/>
    <w:rsid w:val="00EB0013"/>
    <w:rsid w:val="00ED48E9"/>
    <w:rsid w:val="00F067EB"/>
    <w:rsid w:val="00F43C5F"/>
    <w:rsid w:val="00F7506D"/>
    <w:rsid w:val="00FF1378"/>
    <w:rsid w:val="03132E05"/>
    <w:rsid w:val="05BC0C01"/>
    <w:rsid w:val="064116CF"/>
    <w:rsid w:val="064F2B5E"/>
    <w:rsid w:val="06F35DB4"/>
    <w:rsid w:val="089A6D55"/>
    <w:rsid w:val="0AD968F2"/>
    <w:rsid w:val="0AE74647"/>
    <w:rsid w:val="0B611F77"/>
    <w:rsid w:val="0D845A4C"/>
    <w:rsid w:val="17412F60"/>
    <w:rsid w:val="18805F98"/>
    <w:rsid w:val="1A1529B1"/>
    <w:rsid w:val="1DE063B9"/>
    <w:rsid w:val="1E574016"/>
    <w:rsid w:val="1ED175F9"/>
    <w:rsid w:val="1F6500F5"/>
    <w:rsid w:val="22C664F5"/>
    <w:rsid w:val="27316C6C"/>
    <w:rsid w:val="304D1DCB"/>
    <w:rsid w:val="30A939E9"/>
    <w:rsid w:val="341D6BC1"/>
    <w:rsid w:val="37157DCE"/>
    <w:rsid w:val="377321A3"/>
    <w:rsid w:val="3AB21BDB"/>
    <w:rsid w:val="3BEA615F"/>
    <w:rsid w:val="3D433756"/>
    <w:rsid w:val="3FA02A3A"/>
    <w:rsid w:val="3FB34EE1"/>
    <w:rsid w:val="3FDB2091"/>
    <w:rsid w:val="4083701D"/>
    <w:rsid w:val="41993A9D"/>
    <w:rsid w:val="425127F1"/>
    <w:rsid w:val="45535530"/>
    <w:rsid w:val="457876AA"/>
    <w:rsid w:val="48D81324"/>
    <w:rsid w:val="496C070E"/>
    <w:rsid w:val="4A4B10FC"/>
    <w:rsid w:val="4B386CDD"/>
    <w:rsid w:val="4B90598C"/>
    <w:rsid w:val="4CBE2955"/>
    <w:rsid w:val="4D631BB5"/>
    <w:rsid w:val="4E9E4609"/>
    <w:rsid w:val="4F7C6DFA"/>
    <w:rsid w:val="552747CF"/>
    <w:rsid w:val="58512044"/>
    <w:rsid w:val="5D4450FC"/>
    <w:rsid w:val="5EC12033"/>
    <w:rsid w:val="615628F3"/>
    <w:rsid w:val="65EF6D9B"/>
    <w:rsid w:val="67346BF7"/>
    <w:rsid w:val="679E6A08"/>
    <w:rsid w:val="691C5C53"/>
    <w:rsid w:val="693544A3"/>
    <w:rsid w:val="6A0A3337"/>
    <w:rsid w:val="6A7B4FAF"/>
    <w:rsid w:val="6B90159B"/>
    <w:rsid w:val="6CF6382B"/>
    <w:rsid w:val="6DC56CFE"/>
    <w:rsid w:val="7071223D"/>
    <w:rsid w:val="70FE2A40"/>
    <w:rsid w:val="72ED3A63"/>
    <w:rsid w:val="75D90742"/>
    <w:rsid w:val="764964D1"/>
    <w:rsid w:val="79C97E72"/>
    <w:rsid w:val="7AFA6E36"/>
    <w:rsid w:val="7CD516D3"/>
    <w:rsid w:val="7D3C5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333333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525</Words>
  <Characters>2998</Characters>
  <Lines>24</Lines>
  <Paragraphs>7</Paragraphs>
  <TotalTime>14</TotalTime>
  <ScaleCrop>false</ScaleCrop>
  <LinksUpToDate>false</LinksUpToDate>
  <CharactersWithSpaces>3516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2020-06-13T02:26:00Z</dcterms:created>
  <dc:creator>Administrator</dc:creator>
  <cp:lastModifiedBy>Administrator</cp:lastModifiedBy>
  <cp:lastPrinted>2016-11-10T02:35:00Z</cp:lastPrinted>
  <dcterms:modified xsi:type="dcterms:W3CDTF">2020-11-04T00:42:58Z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